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D5D2" w14:textId="77777777" w:rsidR="00262A73" w:rsidRDefault="0083645F">
      <w:pPr>
        <w:rPr>
          <w:sz w:val="72"/>
          <w:szCs w:val="72"/>
          <w:lang w:val="en-US"/>
        </w:rPr>
      </w:pPr>
      <w:r>
        <w:rPr>
          <w:sz w:val="72"/>
          <w:szCs w:val="72"/>
          <w:lang w:val="en-US"/>
        </w:rPr>
        <w:t xml:space="preserve">BLOOM FILTERS </w:t>
      </w:r>
    </w:p>
    <w:p w14:paraId="182AE58F" w14:textId="77777777" w:rsidR="0083645F" w:rsidRDefault="0083645F">
      <w:pPr>
        <w:rPr>
          <w:sz w:val="40"/>
          <w:szCs w:val="40"/>
          <w:lang w:val="en-US"/>
        </w:rPr>
      </w:pPr>
      <w:r>
        <w:rPr>
          <w:sz w:val="40"/>
          <w:szCs w:val="40"/>
          <w:lang w:val="en-US"/>
        </w:rPr>
        <w:t>WHAT ARE BLOOM FILTERS :</w:t>
      </w:r>
    </w:p>
    <w:p w14:paraId="40B56AB4" w14:textId="77777777" w:rsidR="0083645F" w:rsidRPr="0083645F" w:rsidRDefault="0083645F" w:rsidP="0083645F">
      <w:pPr>
        <w:rPr>
          <w:sz w:val="40"/>
          <w:szCs w:val="40"/>
          <w:lang w:val="en-US"/>
        </w:rPr>
      </w:pPr>
      <w:r w:rsidRPr="0083645F">
        <w:rPr>
          <w:sz w:val="40"/>
          <w:szCs w:val="40"/>
          <w:lang w:val="en-US"/>
        </w:rPr>
        <w:t>Cassandra combines data from RAM (in memtables) and disk (in SSTables) in the read path. Cassandra uses a data structure called a bloom filter to avoid having to go through each and every SSTable data file to find the partition that is being requested.</w:t>
      </w:r>
    </w:p>
    <w:p w14:paraId="0ACB475F" w14:textId="77777777" w:rsidR="0083645F" w:rsidRPr="0083645F" w:rsidRDefault="0083645F" w:rsidP="0083645F">
      <w:pPr>
        <w:rPr>
          <w:sz w:val="40"/>
          <w:szCs w:val="40"/>
          <w:lang w:val="en-US"/>
        </w:rPr>
      </w:pPr>
    </w:p>
    <w:p w14:paraId="337DC208" w14:textId="77777777" w:rsidR="0083645F" w:rsidRPr="0083645F" w:rsidRDefault="0083645F" w:rsidP="0083645F">
      <w:pPr>
        <w:rPr>
          <w:sz w:val="40"/>
          <w:szCs w:val="40"/>
          <w:lang w:val="en-US"/>
        </w:rPr>
      </w:pPr>
      <w:r w:rsidRPr="0083645F">
        <w:rPr>
          <w:sz w:val="40"/>
          <w:szCs w:val="40"/>
          <w:lang w:val="en-US"/>
        </w:rPr>
        <w:t>Cassandra can decide one of two probable states using bloom filters, a probabilistic data structure: either the data absolutely does not exist in the provided file, or the data probably does.</w:t>
      </w:r>
    </w:p>
    <w:p w14:paraId="7A89816C" w14:textId="77777777" w:rsidR="0083645F" w:rsidRDefault="0083645F" w:rsidP="0083645F">
      <w:pPr>
        <w:rPr>
          <w:sz w:val="40"/>
          <w:szCs w:val="40"/>
          <w:lang w:val="en-US"/>
        </w:rPr>
      </w:pPr>
    </w:p>
    <w:p w14:paraId="0837083F" w14:textId="77777777" w:rsidR="0083645F" w:rsidRDefault="0083645F" w:rsidP="0083645F">
      <w:pPr>
        <w:rPr>
          <w:sz w:val="40"/>
          <w:szCs w:val="40"/>
          <w:lang w:val="en-US"/>
        </w:rPr>
      </w:pPr>
      <w:r w:rsidRPr="0083645F">
        <w:rPr>
          <w:sz w:val="40"/>
          <w:szCs w:val="40"/>
          <w:lang w:val="en-US"/>
        </w:rPr>
        <w:t>Bloom filters can be made more accurate by allowing them to use more RAM, even when they cannot ensure that the data resides in a particular SSTable. Administrators can fine-tune this behavior for each table by setting the bloom_filter_fp_chance to a float value between 0 and 1.</w:t>
      </w:r>
    </w:p>
    <w:p w14:paraId="4243FDAD" w14:textId="77777777" w:rsidR="0083645F" w:rsidRPr="0083645F" w:rsidRDefault="0083645F" w:rsidP="0083645F">
      <w:pPr>
        <w:rPr>
          <w:sz w:val="40"/>
          <w:szCs w:val="40"/>
          <w:lang w:val="en-US"/>
        </w:rPr>
      </w:pPr>
      <w:r w:rsidRPr="0083645F">
        <w:rPr>
          <w:sz w:val="40"/>
          <w:szCs w:val="40"/>
          <w:lang w:val="en-US"/>
        </w:rPr>
        <w:t>For tables that use the LeveledCompactionStrategy, the default value for bloom_filter_fp_chance is 0.1; in all other situations, it is 0.01.</w:t>
      </w:r>
    </w:p>
    <w:p w14:paraId="4567B6CE" w14:textId="77777777" w:rsidR="0083645F" w:rsidRPr="0083645F" w:rsidRDefault="0083645F" w:rsidP="0083645F">
      <w:pPr>
        <w:rPr>
          <w:sz w:val="40"/>
          <w:szCs w:val="40"/>
          <w:lang w:val="en-US"/>
        </w:rPr>
      </w:pPr>
    </w:p>
    <w:p w14:paraId="36DCD853" w14:textId="77777777" w:rsidR="0083645F" w:rsidRPr="0083645F" w:rsidRDefault="0083645F" w:rsidP="0083645F">
      <w:pPr>
        <w:rPr>
          <w:sz w:val="40"/>
          <w:szCs w:val="40"/>
          <w:lang w:val="en-US"/>
        </w:rPr>
      </w:pPr>
      <w:r w:rsidRPr="0083645F">
        <w:rPr>
          <w:sz w:val="40"/>
          <w:szCs w:val="40"/>
          <w:lang w:val="en-US"/>
        </w:rPr>
        <w:lastRenderedPageBreak/>
        <w:t>Operators should not take bloom filters into account when choosing the maximum heap size because bloom filters are stored offheap but in RAM. Memory usage grows non-linearly with precision (i.e., as bloom_filter_fp_chance approaches 0). For example, a bloom filter with bloom_filter_fp_chance = 0.01 will require around three times as much memory as a table with bloom_filter_fp_chance = 0.1.</w:t>
      </w:r>
    </w:p>
    <w:p w14:paraId="5163B9AC" w14:textId="77777777" w:rsidR="0083645F" w:rsidRPr="0083645F" w:rsidRDefault="0083645F" w:rsidP="0083645F">
      <w:pPr>
        <w:rPr>
          <w:sz w:val="40"/>
          <w:szCs w:val="40"/>
          <w:lang w:val="en-US"/>
        </w:rPr>
      </w:pPr>
    </w:p>
    <w:p w14:paraId="79D6ED4C" w14:textId="77777777" w:rsidR="0083645F" w:rsidRDefault="0083645F" w:rsidP="0083645F">
      <w:pPr>
        <w:rPr>
          <w:sz w:val="40"/>
          <w:szCs w:val="40"/>
          <w:lang w:val="en-US"/>
        </w:rPr>
      </w:pPr>
      <w:r w:rsidRPr="0083645F">
        <w:rPr>
          <w:sz w:val="40"/>
          <w:szCs w:val="40"/>
          <w:lang w:val="en-US"/>
        </w:rPr>
        <w:t>Bloom_filter_fp_chance typically has values between 0.01 (1%) and 0.1 (10%) false-positive chance, which is the possibility that Cassandra will search an SSTable for a row but discover that it is not present on the disk. The use case should guide the parameter tuning:</w:t>
      </w:r>
    </w:p>
    <w:p w14:paraId="455A7971" w14:textId="77777777" w:rsidR="0083645F" w:rsidRPr="0083645F" w:rsidRDefault="0083645F" w:rsidP="0083645F">
      <w:pPr>
        <w:rPr>
          <w:sz w:val="40"/>
          <w:szCs w:val="40"/>
          <w:lang w:val="en-US"/>
        </w:rPr>
      </w:pPr>
      <w:r w:rsidRPr="0083645F">
        <w:rPr>
          <w:sz w:val="40"/>
          <w:szCs w:val="40"/>
          <w:lang w:val="en-US"/>
        </w:rPr>
        <w:t>Setting the bloom_filter_fp_chance to a numerically lower value (like 0.01) may help users with slower disks and more RAM avoid unnecessary IO operations.</w:t>
      </w:r>
    </w:p>
    <w:p w14:paraId="3AF1AF34" w14:textId="77777777" w:rsidR="0083645F" w:rsidRPr="0083645F" w:rsidRDefault="0083645F" w:rsidP="0083645F">
      <w:pPr>
        <w:rPr>
          <w:sz w:val="40"/>
          <w:szCs w:val="40"/>
          <w:lang w:val="en-US"/>
        </w:rPr>
      </w:pPr>
    </w:p>
    <w:p w14:paraId="64DB3ED9" w14:textId="77777777" w:rsidR="0083645F" w:rsidRPr="0083645F" w:rsidRDefault="0083645F" w:rsidP="0083645F">
      <w:pPr>
        <w:rPr>
          <w:sz w:val="40"/>
          <w:szCs w:val="40"/>
          <w:lang w:val="en-US"/>
        </w:rPr>
      </w:pPr>
      <w:r w:rsidRPr="0083645F">
        <w:rPr>
          <w:sz w:val="40"/>
          <w:szCs w:val="40"/>
          <w:lang w:val="en-US"/>
        </w:rPr>
        <w:t>A greater bloom_filter_fp_chance may be tolerated by users with less RAM, denser nodes, or highly fast disks in order to conserve RAM at the expense of unnecessary IO operations.</w:t>
      </w:r>
    </w:p>
    <w:p w14:paraId="4A06E652" w14:textId="77777777" w:rsidR="0083645F" w:rsidRPr="0083645F" w:rsidRDefault="0083645F" w:rsidP="0083645F">
      <w:pPr>
        <w:rPr>
          <w:sz w:val="40"/>
          <w:szCs w:val="40"/>
          <w:lang w:val="en-US"/>
        </w:rPr>
      </w:pPr>
    </w:p>
    <w:p w14:paraId="05BEA951" w14:textId="77777777" w:rsidR="0083645F" w:rsidRPr="0083645F" w:rsidRDefault="0083645F" w:rsidP="0083645F">
      <w:pPr>
        <w:rPr>
          <w:sz w:val="40"/>
          <w:szCs w:val="40"/>
          <w:lang w:val="en-US"/>
        </w:rPr>
      </w:pPr>
    </w:p>
    <w:p w14:paraId="7E722D83" w14:textId="77777777" w:rsidR="0083645F" w:rsidRDefault="0083645F" w:rsidP="0083645F">
      <w:pPr>
        <w:rPr>
          <w:sz w:val="40"/>
          <w:szCs w:val="40"/>
          <w:lang w:val="en-US"/>
        </w:rPr>
      </w:pPr>
      <w:r w:rsidRPr="0083645F">
        <w:rPr>
          <w:sz w:val="40"/>
          <w:szCs w:val="40"/>
          <w:lang w:val="en-US"/>
        </w:rPr>
        <w:lastRenderedPageBreak/>
        <w:t>Bloom filter fp chance can be set to a considerably larger amount in workloads that don't read much or just read by scanning the full data set (like analytics workloads).</w:t>
      </w:r>
    </w:p>
    <w:p w14:paraId="7D48F76B" w14:textId="77777777" w:rsidR="0083645F" w:rsidRDefault="0083645F" w:rsidP="0083645F">
      <w:pPr>
        <w:rPr>
          <w:sz w:val="40"/>
          <w:szCs w:val="40"/>
          <w:lang w:val="en-US"/>
        </w:rPr>
      </w:pPr>
      <w:r w:rsidRPr="0083645F">
        <w:rPr>
          <w:sz w:val="40"/>
          <w:szCs w:val="40"/>
          <w:lang w:val="en-US"/>
        </w:rPr>
        <w:t>The bloom filter false positive chance is visible in the DESCRIBE TABLE output as the field bloom_filter_fp_chance. Operators can change the value with an ALTER TABLE statement: :</w:t>
      </w:r>
    </w:p>
    <w:p w14:paraId="7348B562" w14:textId="77777777" w:rsidR="0083645F" w:rsidRDefault="0083645F" w:rsidP="0083645F">
      <w:pPr>
        <w:rPr>
          <w:sz w:val="40"/>
          <w:szCs w:val="40"/>
          <w:lang w:val="en-US"/>
        </w:rPr>
      </w:pPr>
      <w:r w:rsidRPr="0083645F">
        <w:rPr>
          <w:sz w:val="40"/>
          <w:szCs w:val="40"/>
          <w:lang w:val="en-US"/>
        </w:rPr>
        <w:t>ALTER TABLE keyspace.table WITH bloom_filter_fp_chance=0.01</w:t>
      </w:r>
    </w:p>
    <w:p w14:paraId="476377FF" w14:textId="77777777" w:rsidR="0083645F" w:rsidRDefault="0083645F" w:rsidP="0083645F">
      <w:pPr>
        <w:rPr>
          <w:sz w:val="40"/>
          <w:szCs w:val="40"/>
          <w:lang w:val="en-US"/>
        </w:rPr>
      </w:pPr>
      <w:r w:rsidRPr="0083645F">
        <w:rPr>
          <w:sz w:val="40"/>
          <w:szCs w:val="40"/>
          <w:lang w:val="en-US"/>
        </w:rPr>
        <w:t>Operators should be aware that this is a gradual shift, as the bloom filter is computed at the time the file is written and is stored on disk as part of the SSTable's Filter component. An operator can use nodetool scrub or nodetool upgradesstables -a to force an SSTable rewrite in order to make changes to bloom_filter_fp_chance take effect. This will rebuild the sstables on disk and regenerate the bloom filters while doing so. New files on disk will be written with the new bloom_filter_fp_chance upon issuing an ALTER TABLE statement, but existing sstables will not be modified until they are compacted.</w:t>
      </w:r>
    </w:p>
    <w:p w14:paraId="4DFF542B" w14:textId="77777777" w:rsidR="0083645F" w:rsidRDefault="0083645F" w:rsidP="0083645F">
      <w:pPr>
        <w:rPr>
          <w:sz w:val="40"/>
          <w:szCs w:val="40"/>
          <w:lang w:val="en-US"/>
        </w:rPr>
      </w:pPr>
    </w:p>
    <w:p w14:paraId="574CC9FD" w14:textId="77777777" w:rsidR="0083645F" w:rsidRDefault="0083645F" w:rsidP="0083645F">
      <w:pPr>
        <w:rPr>
          <w:sz w:val="40"/>
          <w:szCs w:val="40"/>
          <w:lang w:val="en-US"/>
        </w:rPr>
      </w:pPr>
    </w:p>
    <w:p w14:paraId="37EDDCFB" w14:textId="77777777" w:rsidR="0083645F" w:rsidRDefault="0083645F" w:rsidP="0083645F">
      <w:pPr>
        <w:rPr>
          <w:sz w:val="72"/>
          <w:szCs w:val="72"/>
          <w:lang w:val="en-US"/>
        </w:rPr>
      </w:pPr>
      <w:r>
        <w:rPr>
          <w:sz w:val="72"/>
          <w:szCs w:val="72"/>
          <w:lang w:val="en-US"/>
        </w:rPr>
        <w:lastRenderedPageBreak/>
        <w:t>BULK LOADING :</w:t>
      </w:r>
    </w:p>
    <w:p w14:paraId="3B435C81" w14:textId="77777777" w:rsidR="0083645F" w:rsidRPr="0083645F" w:rsidRDefault="0083645F" w:rsidP="0083645F">
      <w:pPr>
        <w:rPr>
          <w:sz w:val="40"/>
          <w:szCs w:val="40"/>
          <w:lang w:val="en-US"/>
        </w:rPr>
      </w:pPr>
      <w:r w:rsidRPr="0083645F">
        <w:rPr>
          <w:sz w:val="40"/>
          <w:szCs w:val="40"/>
          <w:lang w:val="en-US"/>
        </w:rPr>
        <w:t>Several programs facilitate loading Apache Cassandra data in bulk. SSTables are the required format for the data to be bulk loaded. No, Cassandra does not support directly loading data in other formats, like CSV, JSON, and XML. The cqlsh COPY command is not a viable choice for large volumes of data, even though it can load CSV data. Using bulk loading enables:</w:t>
      </w:r>
    </w:p>
    <w:p w14:paraId="22409A1B" w14:textId="77777777" w:rsidR="0083645F" w:rsidRPr="0083645F" w:rsidRDefault="0083645F" w:rsidP="0083645F">
      <w:pPr>
        <w:pStyle w:val="ListParagraph"/>
        <w:numPr>
          <w:ilvl w:val="0"/>
          <w:numId w:val="1"/>
        </w:numPr>
        <w:rPr>
          <w:sz w:val="40"/>
          <w:szCs w:val="40"/>
          <w:lang w:val="en-US"/>
        </w:rPr>
      </w:pPr>
      <w:r w:rsidRPr="0083645F">
        <w:rPr>
          <w:sz w:val="40"/>
          <w:szCs w:val="40"/>
          <w:lang w:val="en-US"/>
        </w:rPr>
        <w:t>Restore snapshots and incremental backups. SSTables are already the format for backups and snapshots.</w:t>
      </w:r>
    </w:p>
    <w:p w14:paraId="2364BE19" w14:textId="77777777" w:rsidR="0083645F" w:rsidRPr="0083645F" w:rsidRDefault="0083645F" w:rsidP="0083645F">
      <w:pPr>
        <w:pStyle w:val="ListParagraph"/>
        <w:numPr>
          <w:ilvl w:val="0"/>
          <w:numId w:val="1"/>
        </w:numPr>
        <w:rPr>
          <w:sz w:val="40"/>
          <w:szCs w:val="40"/>
          <w:lang w:val="en-US"/>
        </w:rPr>
      </w:pPr>
      <w:r w:rsidRPr="0083645F">
        <w:rPr>
          <w:sz w:val="40"/>
          <w:szCs w:val="40"/>
          <w:lang w:val="en-US"/>
        </w:rPr>
        <w:t>Move the current SSTables to a different cluster. The data may have a different replication mechanism or number of nodes.</w:t>
      </w:r>
    </w:p>
    <w:p w14:paraId="6ADD9913" w14:textId="77777777" w:rsidR="0083645F" w:rsidRDefault="0083645F" w:rsidP="0083645F">
      <w:pPr>
        <w:pStyle w:val="ListParagraph"/>
        <w:numPr>
          <w:ilvl w:val="0"/>
          <w:numId w:val="1"/>
        </w:numPr>
        <w:rPr>
          <w:sz w:val="40"/>
          <w:szCs w:val="40"/>
          <w:lang w:val="en-US"/>
        </w:rPr>
      </w:pPr>
      <w:r w:rsidRPr="0083645F">
        <w:rPr>
          <w:sz w:val="40"/>
          <w:szCs w:val="40"/>
          <w:lang w:val="en-US"/>
        </w:rPr>
        <w:t>Add outside data to a cluster</w:t>
      </w:r>
      <w:r>
        <w:rPr>
          <w:sz w:val="40"/>
          <w:szCs w:val="40"/>
          <w:lang w:val="en-US"/>
        </w:rPr>
        <w:t>.</w:t>
      </w:r>
    </w:p>
    <w:p w14:paraId="52465F7E" w14:textId="77777777" w:rsidR="0083645F" w:rsidRDefault="00DB23A3" w:rsidP="0083645F">
      <w:pPr>
        <w:rPr>
          <w:sz w:val="40"/>
          <w:szCs w:val="40"/>
          <w:lang w:val="en-US"/>
        </w:rPr>
      </w:pPr>
      <w:r>
        <w:rPr>
          <w:sz w:val="40"/>
          <w:szCs w:val="40"/>
          <w:lang w:val="en-US"/>
        </w:rPr>
        <w:t>TOOLS USED :</w:t>
      </w:r>
    </w:p>
    <w:p w14:paraId="70CA4CB2" w14:textId="77777777" w:rsidR="00DB23A3" w:rsidRPr="00DB23A3" w:rsidRDefault="00DB23A3" w:rsidP="00DB23A3">
      <w:pPr>
        <w:rPr>
          <w:sz w:val="40"/>
          <w:szCs w:val="40"/>
          <w:lang w:val="en-US"/>
        </w:rPr>
      </w:pPr>
      <w:r w:rsidRPr="00DB23A3">
        <w:rPr>
          <w:sz w:val="40"/>
          <w:szCs w:val="40"/>
          <w:lang w:val="en-US"/>
        </w:rPr>
        <w:t>Two commands or tools are available in Cassandra for bulk loading data:</w:t>
      </w:r>
    </w:p>
    <w:p w14:paraId="1BED4665" w14:textId="77777777" w:rsidR="00DB23A3" w:rsidRPr="00DB23A3" w:rsidRDefault="00DB23A3" w:rsidP="00DB23A3">
      <w:pPr>
        <w:rPr>
          <w:sz w:val="40"/>
          <w:szCs w:val="40"/>
          <w:lang w:val="en-US"/>
        </w:rPr>
      </w:pPr>
    </w:p>
    <w:p w14:paraId="78B262BC" w14:textId="77777777" w:rsidR="00DB23A3" w:rsidRPr="00DB23A3" w:rsidRDefault="00DB23A3" w:rsidP="00DB23A3">
      <w:pPr>
        <w:rPr>
          <w:sz w:val="40"/>
          <w:szCs w:val="40"/>
          <w:lang w:val="en-US"/>
        </w:rPr>
      </w:pPr>
      <w:r w:rsidRPr="00DB23A3">
        <w:rPr>
          <w:sz w:val="40"/>
          <w:szCs w:val="40"/>
          <w:lang w:val="en-US"/>
        </w:rPr>
        <w:t>sstableloader, another name for Cassandra Bulk loader</w:t>
      </w:r>
    </w:p>
    <w:p w14:paraId="6E82C287" w14:textId="77777777" w:rsidR="00DB23A3" w:rsidRPr="00DB23A3" w:rsidRDefault="00DB23A3" w:rsidP="00DB23A3">
      <w:pPr>
        <w:rPr>
          <w:sz w:val="40"/>
          <w:szCs w:val="40"/>
          <w:lang w:val="en-US"/>
        </w:rPr>
      </w:pPr>
      <w:r w:rsidRPr="00DB23A3">
        <w:rPr>
          <w:sz w:val="40"/>
          <w:szCs w:val="40"/>
          <w:lang w:val="en-US"/>
        </w:rPr>
        <w:t>The import command for nodetool</w:t>
      </w:r>
    </w:p>
    <w:p w14:paraId="296D952D" w14:textId="77777777" w:rsidR="00DB23A3" w:rsidRDefault="00DB23A3" w:rsidP="00DB23A3">
      <w:pPr>
        <w:rPr>
          <w:sz w:val="40"/>
          <w:szCs w:val="40"/>
          <w:lang w:val="en-US"/>
        </w:rPr>
      </w:pPr>
      <w:r w:rsidRPr="00DB23A3">
        <w:rPr>
          <w:sz w:val="40"/>
          <w:szCs w:val="40"/>
          <w:lang w:val="en-US"/>
        </w:rPr>
        <w:t xml:space="preserve">If the Cassandra installation bin directory is present in the PATH environment variable, you can use the </w:t>
      </w:r>
      <w:r w:rsidRPr="00DB23A3">
        <w:rPr>
          <w:sz w:val="40"/>
          <w:szCs w:val="40"/>
          <w:lang w:val="en-US"/>
        </w:rPr>
        <w:lastRenderedPageBreak/>
        <w:t>sstableloader and nodetool import. Alternatively, these might be viewed straight from the bin directory. The keyspaces and tables established in Backups are used in the examples.</w:t>
      </w:r>
    </w:p>
    <w:p w14:paraId="6C00BAFC" w14:textId="77777777" w:rsidR="00DB23A3" w:rsidRDefault="00DB23A3" w:rsidP="00DB23A3">
      <w:pPr>
        <w:rPr>
          <w:sz w:val="40"/>
          <w:szCs w:val="40"/>
          <w:lang w:val="en-US"/>
        </w:rPr>
      </w:pPr>
      <w:r>
        <w:rPr>
          <w:sz w:val="40"/>
          <w:szCs w:val="40"/>
          <w:lang w:val="en-US"/>
        </w:rPr>
        <w:t>SSTABLE LOADER :</w:t>
      </w:r>
    </w:p>
    <w:p w14:paraId="73123501" w14:textId="77777777" w:rsidR="00DB23A3" w:rsidRPr="00DB23A3" w:rsidRDefault="00DB23A3" w:rsidP="00DB23A3">
      <w:pPr>
        <w:rPr>
          <w:sz w:val="40"/>
          <w:szCs w:val="40"/>
          <w:lang w:val="en-US"/>
        </w:rPr>
      </w:pPr>
      <w:r w:rsidRPr="00DB23A3">
        <w:rPr>
          <w:sz w:val="40"/>
          <w:szCs w:val="40"/>
          <w:lang w:val="en-US"/>
        </w:rPr>
        <w:t>The primary tool for uploading data in bulk is the sstableloader. SSTable data files are streamed to an operational cluster by sstableloader in accordance with the replication factor and replication method. The table to which data uploads is not required to be empty.</w:t>
      </w:r>
    </w:p>
    <w:p w14:paraId="1C885117" w14:textId="77777777" w:rsidR="00DB23A3" w:rsidRPr="00DB23A3" w:rsidRDefault="00DB23A3" w:rsidP="00DB23A3">
      <w:pPr>
        <w:rPr>
          <w:sz w:val="40"/>
          <w:szCs w:val="40"/>
          <w:lang w:val="en-US"/>
        </w:rPr>
      </w:pPr>
    </w:p>
    <w:p w14:paraId="349B9E39" w14:textId="77777777" w:rsidR="00DB23A3" w:rsidRPr="00DB23A3" w:rsidRDefault="00DB23A3" w:rsidP="00DB23A3">
      <w:pPr>
        <w:rPr>
          <w:sz w:val="40"/>
          <w:szCs w:val="40"/>
          <w:lang w:val="en-US"/>
        </w:rPr>
      </w:pPr>
      <w:r w:rsidRPr="00DB23A3">
        <w:rPr>
          <w:sz w:val="40"/>
          <w:szCs w:val="40"/>
          <w:lang w:val="en-US"/>
        </w:rPr>
        <w:t>Runtime requirements for sstableloader are as follows:</w:t>
      </w:r>
    </w:p>
    <w:p w14:paraId="5111B364" w14:textId="77777777" w:rsidR="00DB23A3" w:rsidRPr="00DB23A3" w:rsidRDefault="00DB23A3" w:rsidP="00DB23A3">
      <w:pPr>
        <w:rPr>
          <w:sz w:val="40"/>
          <w:szCs w:val="40"/>
          <w:lang w:val="en-US"/>
        </w:rPr>
      </w:pPr>
    </w:p>
    <w:p w14:paraId="2F1BF67F" w14:textId="77777777" w:rsidR="00DB23A3" w:rsidRPr="00DB23A3" w:rsidRDefault="00DB23A3" w:rsidP="00DB23A3">
      <w:pPr>
        <w:rPr>
          <w:sz w:val="40"/>
          <w:szCs w:val="40"/>
          <w:lang w:val="en-US"/>
        </w:rPr>
      </w:pPr>
    </w:p>
    <w:p w14:paraId="5ECC2094" w14:textId="77777777" w:rsidR="00DB23A3" w:rsidRPr="00DB23A3" w:rsidRDefault="00DB23A3" w:rsidP="00DB23A3">
      <w:pPr>
        <w:rPr>
          <w:sz w:val="40"/>
          <w:szCs w:val="40"/>
          <w:lang w:val="en-US"/>
        </w:rPr>
      </w:pPr>
      <w:r w:rsidRPr="00DB23A3">
        <w:rPr>
          <w:sz w:val="40"/>
          <w:szCs w:val="40"/>
          <w:lang w:val="en-US"/>
        </w:rPr>
        <w:t>To connect to and obtain ring information, first hosts should be separated by one or more commas.</w:t>
      </w:r>
    </w:p>
    <w:p w14:paraId="580AC1AE" w14:textId="77777777" w:rsidR="00DB23A3" w:rsidRPr="00DB23A3" w:rsidRDefault="00DB23A3" w:rsidP="00DB23A3">
      <w:pPr>
        <w:rPr>
          <w:sz w:val="40"/>
          <w:szCs w:val="40"/>
          <w:lang w:val="en-US"/>
        </w:rPr>
      </w:pPr>
    </w:p>
    <w:p w14:paraId="2FB509FA" w14:textId="77777777" w:rsidR="00DB23A3" w:rsidRPr="00DB23A3" w:rsidRDefault="00DB23A3" w:rsidP="00DB23A3">
      <w:pPr>
        <w:rPr>
          <w:sz w:val="40"/>
          <w:szCs w:val="40"/>
          <w:lang w:val="en-US"/>
        </w:rPr>
      </w:pPr>
      <w:r w:rsidRPr="00DB23A3">
        <w:rPr>
          <w:sz w:val="40"/>
          <w:szCs w:val="40"/>
          <w:lang w:val="en-US"/>
        </w:rPr>
        <w:t>a directory path that loads the SSTables</w:t>
      </w:r>
    </w:p>
    <w:p w14:paraId="4F4C8686" w14:textId="77777777" w:rsidR="00DB23A3" w:rsidRPr="00DB23A3" w:rsidRDefault="00DB23A3" w:rsidP="00DB23A3">
      <w:pPr>
        <w:rPr>
          <w:sz w:val="40"/>
          <w:szCs w:val="40"/>
          <w:lang w:val="en-US"/>
        </w:rPr>
      </w:pPr>
    </w:p>
    <w:p w14:paraId="45D1A031" w14:textId="77777777" w:rsidR="00DB23A3" w:rsidRPr="00DB23A3" w:rsidRDefault="00DB23A3" w:rsidP="00DB23A3">
      <w:pPr>
        <w:rPr>
          <w:sz w:val="40"/>
          <w:szCs w:val="40"/>
          <w:lang w:val="en-US"/>
        </w:rPr>
      </w:pPr>
      <w:r w:rsidRPr="00DB23A3">
        <w:rPr>
          <w:sz w:val="40"/>
          <w:szCs w:val="40"/>
          <w:lang w:val="en-US"/>
        </w:rPr>
        <w:t>sstableloader &lt;dir_path&gt; [options]</w:t>
      </w:r>
    </w:p>
    <w:p w14:paraId="15FB45A7" w14:textId="77777777" w:rsidR="00DB23A3" w:rsidRDefault="00DB23A3" w:rsidP="00DB23A3">
      <w:pPr>
        <w:rPr>
          <w:sz w:val="40"/>
          <w:szCs w:val="40"/>
          <w:lang w:val="en-US"/>
        </w:rPr>
      </w:pPr>
      <w:r w:rsidRPr="00DB23A3">
        <w:rPr>
          <w:sz w:val="40"/>
          <w:szCs w:val="40"/>
          <w:lang w:val="en-US"/>
        </w:rPr>
        <w:t xml:space="preserve">The SSTables located in the directory &lt;dir_path&gt; are bulk loaded into the configured cluster by </w:t>
      </w:r>
      <w:r w:rsidRPr="00DB23A3">
        <w:rPr>
          <w:sz w:val="40"/>
          <w:szCs w:val="40"/>
          <w:lang w:val="en-US"/>
        </w:rPr>
        <w:lastRenderedPageBreak/>
        <w:t>Sstableloader. The intended keyspace or table name is &lt;dir_path&gt;. For instance, the files Standard1-g-1-Data.db and Standard1-g-1-Index.db must be in the directory /path/to/Keyspace1/Standard1/ in order to load an SSTable with the name Standard1-g-1-Data.db into Keyspace1/Standard1.</w:t>
      </w:r>
    </w:p>
    <w:p w14:paraId="63ABE6F1" w14:textId="77777777" w:rsidR="00DB23A3" w:rsidRDefault="00DB23A3" w:rsidP="00DB23A3">
      <w:pPr>
        <w:rPr>
          <w:sz w:val="40"/>
          <w:szCs w:val="40"/>
          <w:lang w:val="en-US"/>
        </w:rPr>
      </w:pPr>
      <w:r>
        <w:rPr>
          <w:sz w:val="40"/>
          <w:szCs w:val="40"/>
          <w:lang w:val="en-US"/>
        </w:rPr>
        <w:t>ACCEPTING TARGER KEYSPACE NAME :</w:t>
      </w:r>
    </w:p>
    <w:p w14:paraId="54C78C22" w14:textId="77777777" w:rsidR="00DB23A3" w:rsidRPr="00DB23A3" w:rsidRDefault="00DB23A3" w:rsidP="00DB23A3">
      <w:pPr>
        <w:rPr>
          <w:sz w:val="40"/>
          <w:szCs w:val="40"/>
          <w:lang w:val="en-US"/>
        </w:rPr>
      </w:pPr>
      <w:r w:rsidRPr="00DB23A3">
        <w:rPr>
          <w:sz w:val="40"/>
          <w:szCs w:val="40"/>
          <w:lang w:val="en-US"/>
        </w:rPr>
        <w:t>Some Cassandra DBAs store a whole data directory, usually as part of a backup plan. When data corruption is discovered, it is typical to restore the data using an alternative keyspace name within the same cluster (big clusters with 200 nodes).</w:t>
      </w:r>
    </w:p>
    <w:p w14:paraId="0657D35D" w14:textId="77777777" w:rsidR="00DB23A3" w:rsidRPr="00DB23A3" w:rsidRDefault="00DB23A3" w:rsidP="00DB23A3">
      <w:pPr>
        <w:rPr>
          <w:sz w:val="40"/>
          <w:szCs w:val="40"/>
          <w:lang w:val="en-US"/>
        </w:rPr>
      </w:pPr>
      <w:r w:rsidRPr="00DB23A3">
        <w:rPr>
          <w:sz w:val="40"/>
          <w:szCs w:val="40"/>
          <w:lang w:val="en-US"/>
        </w:rPr>
        <w:t>Keyspace name is currently derived by sstableloader from the folder structure. Version 4.0 adds support for the --target-keyspace option (CASSANDRA-13884) as a way to configure the target keyspace name as part of sstableloader.</w:t>
      </w:r>
    </w:p>
    <w:p w14:paraId="7254568C" w14:textId="77777777" w:rsidR="00DB23A3" w:rsidRPr="00DB23A3" w:rsidRDefault="00DB23A3" w:rsidP="00DB23A3">
      <w:pPr>
        <w:rPr>
          <w:sz w:val="40"/>
          <w:szCs w:val="40"/>
          <w:lang w:val="en-US"/>
        </w:rPr>
      </w:pPr>
    </w:p>
    <w:p w14:paraId="288928CE" w14:textId="77777777" w:rsidR="00DB23A3" w:rsidRDefault="00DB23A3" w:rsidP="00DB23A3">
      <w:pPr>
        <w:rPr>
          <w:sz w:val="40"/>
          <w:szCs w:val="40"/>
          <w:lang w:val="en-US"/>
        </w:rPr>
      </w:pPr>
      <w:r w:rsidRPr="00DB23A3">
        <w:rPr>
          <w:sz w:val="40"/>
          <w:szCs w:val="40"/>
          <w:lang w:val="en-US"/>
        </w:rPr>
        <w:t>The -d,--nodes &lt;initial hosts&gt; option is necessary for the following options to be supported:</w:t>
      </w:r>
    </w:p>
    <w:tbl>
      <w:tblPr>
        <w:tblW w:w="8758" w:type="dxa"/>
        <w:tblInd w:w="24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
        <w:gridCol w:w="2234"/>
        <w:gridCol w:w="5631"/>
      </w:tblGrid>
      <w:tr w:rsidR="00DB23A3" w14:paraId="00936619" w14:textId="77777777" w:rsidTr="00DB23A3">
        <w:trPr>
          <w:trHeight w:val="857"/>
          <w:tblHeader/>
        </w:trPr>
        <w:tc>
          <w:tcPr>
            <w:tcW w:w="0" w:type="auto"/>
            <w:tcBorders>
              <w:top w:val="single" w:sz="6" w:space="0" w:color="auto"/>
              <w:left w:val="single" w:sz="6" w:space="0" w:color="auto"/>
              <w:bottom w:val="single" w:sz="12" w:space="0" w:color="auto"/>
              <w:right w:val="single" w:sz="6" w:space="0" w:color="auto"/>
            </w:tcBorders>
            <w:shd w:val="clear" w:color="auto" w:fill="C8CBD3"/>
            <w:hideMark/>
          </w:tcPr>
          <w:p w14:paraId="30EF28B3" w14:textId="77777777" w:rsidR="00DB23A3" w:rsidRDefault="00DB23A3">
            <w:pPr>
              <w:spacing w:before="180"/>
              <w:jc w:val="center"/>
              <w:rPr>
                <w:rFonts w:ascii="Work Sans" w:hAnsi="Work Sans"/>
                <w:b/>
                <w:bCs/>
                <w:color w:val="212529"/>
              </w:rPr>
            </w:pPr>
            <w:r>
              <w:rPr>
                <w:rFonts w:ascii="Work Sans" w:hAnsi="Work Sans"/>
                <w:b/>
                <w:bCs/>
                <w:color w:val="212529"/>
              </w:rPr>
              <w:t>Short option</w:t>
            </w:r>
          </w:p>
        </w:tc>
        <w:tc>
          <w:tcPr>
            <w:tcW w:w="0" w:type="auto"/>
            <w:tcBorders>
              <w:top w:val="single" w:sz="6" w:space="0" w:color="auto"/>
              <w:left w:val="single" w:sz="6" w:space="0" w:color="auto"/>
              <w:bottom w:val="single" w:sz="12" w:space="0" w:color="auto"/>
              <w:right w:val="single" w:sz="6" w:space="0" w:color="auto"/>
            </w:tcBorders>
            <w:shd w:val="clear" w:color="auto" w:fill="C8CBD3"/>
            <w:hideMark/>
          </w:tcPr>
          <w:p w14:paraId="61F927E7" w14:textId="77777777" w:rsidR="00DB23A3" w:rsidRDefault="00DB23A3">
            <w:pPr>
              <w:spacing w:before="180"/>
              <w:jc w:val="center"/>
              <w:rPr>
                <w:rFonts w:ascii="Work Sans" w:hAnsi="Work Sans"/>
                <w:b/>
                <w:bCs/>
                <w:color w:val="212529"/>
              </w:rPr>
            </w:pPr>
            <w:r>
              <w:rPr>
                <w:rFonts w:ascii="Work Sans" w:hAnsi="Work Sans"/>
                <w:b/>
                <w:bCs/>
                <w:color w:val="212529"/>
              </w:rPr>
              <w:t>Long option</w:t>
            </w:r>
          </w:p>
        </w:tc>
        <w:tc>
          <w:tcPr>
            <w:tcW w:w="0" w:type="auto"/>
            <w:tcBorders>
              <w:top w:val="single" w:sz="6" w:space="0" w:color="auto"/>
              <w:left w:val="single" w:sz="6" w:space="0" w:color="auto"/>
              <w:bottom w:val="single" w:sz="12" w:space="0" w:color="auto"/>
              <w:right w:val="single" w:sz="6" w:space="0" w:color="auto"/>
            </w:tcBorders>
            <w:shd w:val="clear" w:color="auto" w:fill="C8CBD3"/>
            <w:hideMark/>
          </w:tcPr>
          <w:p w14:paraId="2E7CB0B2" w14:textId="77777777" w:rsidR="00DB23A3" w:rsidRDefault="00DB23A3">
            <w:pPr>
              <w:spacing w:before="180"/>
              <w:jc w:val="center"/>
              <w:rPr>
                <w:rFonts w:ascii="Work Sans" w:hAnsi="Work Sans"/>
                <w:b/>
                <w:bCs/>
                <w:color w:val="212529"/>
              </w:rPr>
            </w:pPr>
            <w:r>
              <w:rPr>
                <w:rFonts w:ascii="Work Sans" w:hAnsi="Work Sans"/>
                <w:b/>
                <w:bCs/>
                <w:color w:val="212529"/>
              </w:rPr>
              <w:t>Description</w:t>
            </w:r>
          </w:p>
        </w:tc>
      </w:tr>
      <w:tr w:rsidR="00DB23A3" w14:paraId="6C26F363" w14:textId="77777777" w:rsidTr="00DB23A3">
        <w:trPr>
          <w:trHeight w:val="602"/>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31C080DC"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-alg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411C3F1B"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--ssl-alg &lt;ALGORITHM&gt;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3ADC336" w14:textId="77777777" w:rsidR="00DB23A3" w:rsidRDefault="00DB23A3">
            <w:pPr>
              <w:spacing w:before="180"/>
              <w:rPr>
                <w:rFonts w:ascii="Work Sans" w:hAnsi="Work Sans"/>
                <w:color w:val="212529"/>
              </w:rPr>
            </w:pPr>
            <w:r>
              <w:rPr>
                <w:rFonts w:ascii="Work Sans" w:hAnsi="Work Sans"/>
                <w:color w:val="212529"/>
              </w:rPr>
              <w:t>Client SSL algorithm (default: SunX509).</w:t>
            </w:r>
          </w:p>
        </w:tc>
      </w:tr>
      <w:tr w:rsidR="00DB23A3" w14:paraId="0C0D818C" w14:textId="77777777" w:rsidTr="00DB23A3">
        <w:trPr>
          <w:trHeight w:val="1135"/>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D541813"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lastRenderedPageBreak/>
              <w:t>-ap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E2C552A"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--auth-provider &lt;auth provider class name&gt;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5CBF1F1" w14:textId="77777777" w:rsidR="00DB23A3" w:rsidRDefault="00DB23A3">
            <w:pPr>
              <w:spacing w:before="180"/>
              <w:rPr>
                <w:rFonts w:ascii="Work Sans" w:hAnsi="Work Sans"/>
                <w:color w:val="212529"/>
              </w:rPr>
            </w:pPr>
            <w:r>
              <w:rPr>
                <w:rFonts w:ascii="Work Sans" w:hAnsi="Work Sans"/>
                <w:color w:val="212529"/>
              </w:rPr>
              <w:t>Allows the use of a third party auth provider. Can be combined with -u &lt;username&gt; and -pw &lt;password&gt; if the auth provider supports plain text credentials.</w:t>
            </w:r>
          </w:p>
        </w:tc>
      </w:tr>
      <w:tr w:rsidR="00DB23A3" w14:paraId="0A448831" w14:textId="77777777" w:rsidTr="00DB23A3">
        <w:trPr>
          <w:trHeight w:val="845"/>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D2F86E9"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-ciphers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3579B8C"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--ssl-ciphers &lt;CIPHER-SUITES&gt;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2F709EC" w14:textId="77777777" w:rsidR="00DB23A3" w:rsidRDefault="00DB23A3">
            <w:pPr>
              <w:spacing w:before="180"/>
              <w:rPr>
                <w:rFonts w:ascii="Work Sans" w:hAnsi="Work Sans"/>
                <w:color w:val="212529"/>
              </w:rPr>
            </w:pPr>
            <w:r>
              <w:rPr>
                <w:rFonts w:ascii="Work Sans" w:hAnsi="Work Sans"/>
                <w:color w:val="212529"/>
              </w:rPr>
              <w:t>Client SSL. Comma-separated list of encryption suites.</w:t>
            </w:r>
          </w:p>
        </w:tc>
      </w:tr>
      <w:tr w:rsidR="00DB23A3" w14:paraId="3E38454E" w14:textId="77777777" w:rsidTr="00DB23A3">
        <w:trPr>
          <w:trHeight w:val="110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229712F"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-cph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AE7C017"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--connections-per-host &lt;connectionsPerHost&gt;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7C0E5AE" w14:textId="77777777" w:rsidR="00DB23A3" w:rsidRDefault="00DB23A3">
            <w:pPr>
              <w:spacing w:before="180"/>
              <w:rPr>
                <w:rFonts w:ascii="Work Sans" w:hAnsi="Work Sans"/>
                <w:color w:val="212529"/>
              </w:rPr>
            </w:pPr>
            <w:r>
              <w:rPr>
                <w:rFonts w:ascii="Work Sans" w:hAnsi="Work Sans"/>
                <w:color w:val="212529"/>
              </w:rPr>
              <w:t>Number of concurrent connections-per-host.</w:t>
            </w:r>
          </w:p>
        </w:tc>
      </w:tr>
      <w:tr w:rsidR="00DB23A3" w14:paraId="42D07EF2" w14:textId="77777777" w:rsidTr="00DB23A3">
        <w:trPr>
          <w:trHeight w:val="85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FC78AB2"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5207B78"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--nodes &lt;initial_hosts&gt;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A2D9C42" w14:textId="77777777" w:rsidR="00DB23A3" w:rsidRDefault="00DB23A3">
            <w:pPr>
              <w:spacing w:before="180"/>
              <w:rPr>
                <w:rFonts w:ascii="Work Sans" w:hAnsi="Work Sans"/>
                <w:color w:val="212529"/>
              </w:rPr>
            </w:pPr>
            <w:r>
              <w:rPr>
                <w:rStyle w:val="Strong"/>
                <w:rFonts w:ascii="Work Sans" w:hAnsi="Work Sans"/>
                <w:color w:val="212529"/>
              </w:rPr>
              <w:t>Required</w:t>
            </w:r>
            <w:r>
              <w:rPr>
                <w:rFonts w:ascii="Work Sans" w:hAnsi="Work Sans"/>
                <w:color w:val="212529"/>
              </w:rPr>
              <w:t>. Connect to a list of (comma separated) hosts for initial cluster information.</w:t>
            </w:r>
          </w:p>
        </w:tc>
      </w:tr>
      <w:tr w:rsidR="00DB23A3" w14:paraId="12275797" w14:textId="77777777" w:rsidTr="00DB23A3">
        <w:trPr>
          <w:trHeight w:val="88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3A2E434"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B197403"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--conf-path &lt;path_to_config_file&gt;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A8457C2" w14:textId="77777777" w:rsidR="00DB23A3" w:rsidRDefault="00DB23A3">
            <w:pPr>
              <w:spacing w:before="180"/>
              <w:rPr>
                <w:rFonts w:ascii="Work Sans" w:hAnsi="Work Sans"/>
                <w:color w:val="212529"/>
              </w:rPr>
            </w:pPr>
            <w:r>
              <w:rPr>
                <w:rFonts w:ascii="Work Sans" w:hAnsi="Work Sans"/>
                <w:color w:val="212529"/>
              </w:rPr>
              <w:t>Path to the </w:t>
            </w:r>
            <w:r>
              <w:rPr>
                <w:rStyle w:val="a"/>
                <w:rFonts w:ascii="Courier New" w:hAnsi="Courier New" w:cs="Courier New"/>
                <w:color w:val="212529"/>
                <w:bdr w:val="none" w:sz="0" w:space="0" w:color="auto" w:frame="1"/>
              </w:rPr>
              <w:t>cassandra.yaml</w:t>
            </w:r>
            <w:r>
              <w:rPr>
                <w:rFonts w:ascii="Work Sans" w:hAnsi="Work Sans"/>
                <w:color w:val="212529"/>
              </w:rPr>
              <w:t> path for streaming throughput and client/server SSL.</w:t>
            </w:r>
          </w:p>
        </w:tc>
      </w:tr>
      <w:tr w:rsidR="00DB23A3" w14:paraId="067378DB" w14:textId="77777777" w:rsidTr="00DB23A3">
        <w:trPr>
          <w:trHeight w:val="59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A57F27B"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AFE1C1E"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--help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31899705" w14:textId="77777777" w:rsidR="00DB23A3" w:rsidRDefault="00DB23A3">
            <w:pPr>
              <w:spacing w:before="180"/>
              <w:rPr>
                <w:rFonts w:ascii="Work Sans" w:hAnsi="Work Sans"/>
                <w:color w:val="212529"/>
              </w:rPr>
            </w:pPr>
            <w:r>
              <w:rPr>
                <w:rFonts w:ascii="Work Sans" w:hAnsi="Work Sans"/>
                <w:color w:val="212529"/>
              </w:rPr>
              <w:t>Display help.</w:t>
            </w:r>
          </w:p>
        </w:tc>
      </w:tr>
      <w:tr w:rsidR="00DB23A3" w14:paraId="74B54084" w14:textId="77777777" w:rsidTr="00DB23A3">
        <w:trPr>
          <w:trHeight w:val="602"/>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6F01B77"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45A56A9"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--ignore &lt;NODES&gt;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8BB4E3C" w14:textId="77777777" w:rsidR="00DB23A3" w:rsidRDefault="00DB23A3">
            <w:pPr>
              <w:spacing w:before="180"/>
              <w:rPr>
                <w:rFonts w:ascii="Work Sans" w:hAnsi="Work Sans"/>
                <w:color w:val="212529"/>
              </w:rPr>
            </w:pPr>
            <w:r>
              <w:rPr>
                <w:rFonts w:ascii="Work Sans" w:hAnsi="Work Sans"/>
                <w:color w:val="212529"/>
              </w:rPr>
              <w:t>Do not stream to this comma separated list of nodes.</w:t>
            </w:r>
          </w:p>
        </w:tc>
      </w:tr>
      <w:tr w:rsidR="00DB23A3" w14:paraId="7E5BFA89" w14:textId="77777777" w:rsidTr="00DB23A3">
        <w:trPr>
          <w:trHeight w:val="59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878F74B"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-ks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3B3F575"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--keystore &lt;KEYSTORE&gt;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9DC2AA0" w14:textId="77777777" w:rsidR="00DB23A3" w:rsidRDefault="00DB23A3">
            <w:pPr>
              <w:spacing w:before="180"/>
              <w:rPr>
                <w:rFonts w:ascii="Work Sans" w:hAnsi="Work Sans"/>
                <w:color w:val="212529"/>
              </w:rPr>
            </w:pPr>
            <w:r>
              <w:rPr>
                <w:rFonts w:ascii="Work Sans" w:hAnsi="Work Sans"/>
                <w:color w:val="212529"/>
              </w:rPr>
              <w:t>Client SSL. Full path to the keystore.</w:t>
            </w:r>
          </w:p>
        </w:tc>
      </w:tr>
      <w:tr w:rsidR="00DB23A3" w14:paraId="1B6C06EB" w14:textId="77777777" w:rsidTr="00DB23A3">
        <w:trPr>
          <w:trHeight w:val="1088"/>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9A765BD"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-kspw</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5F6C2D4" w14:textId="77777777" w:rsidR="00DB23A3" w:rsidRDefault="00DB23A3">
            <w:pPr>
              <w:spacing w:before="180"/>
              <w:rPr>
                <w:rFonts w:ascii="Work Sans" w:hAnsi="Work Sans"/>
                <w:color w:val="212529"/>
              </w:rPr>
            </w:pPr>
            <w:r>
              <w:rPr>
                <w:rStyle w:val="a"/>
                <w:rFonts w:ascii="Courier New" w:hAnsi="Courier New" w:cs="Courier New"/>
                <w:color w:val="212529"/>
                <w:bdr w:val="none" w:sz="0" w:space="0" w:color="auto" w:frame="1"/>
              </w:rPr>
              <w:t>--keystore-password &lt;KEYSTORE-PASSWORD&gt;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369CF736" w14:textId="77777777" w:rsidR="00DB23A3" w:rsidRDefault="00DB23A3">
            <w:pPr>
              <w:pStyle w:val="-"/>
              <w:spacing w:before="0" w:beforeAutospacing="0"/>
              <w:rPr>
                <w:rFonts w:ascii="Work Sans" w:hAnsi="Work Sans"/>
                <w:color w:val="212529"/>
              </w:rPr>
            </w:pPr>
            <w:r>
              <w:rPr>
                <w:rFonts w:ascii="Work Sans" w:hAnsi="Work Sans"/>
                <w:color w:val="212529"/>
              </w:rPr>
              <w:t>Client SSL. Password for the keystore.</w:t>
            </w:r>
          </w:p>
          <w:p w14:paraId="3EC4B54C" w14:textId="77777777" w:rsidR="00DB23A3" w:rsidRDefault="00DB23A3">
            <w:pPr>
              <w:pStyle w:val="-"/>
              <w:spacing w:before="0" w:beforeAutospacing="0"/>
              <w:rPr>
                <w:rFonts w:ascii="Work Sans" w:hAnsi="Work Sans"/>
                <w:color w:val="212529"/>
              </w:rPr>
            </w:pPr>
            <w:r>
              <w:rPr>
                <w:rFonts w:ascii="Work Sans" w:hAnsi="Work Sans"/>
                <w:color w:val="212529"/>
              </w:rPr>
              <w:t>Overrides the </w:t>
            </w:r>
            <w:r>
              <w:rPr>
                <w:rStyle w:val="a"/>
                <w:rFonts w:ascii="Courier New" w:hAnsi="Courier New" w:cs="Courier New"/>
                <w:color w:val="212529"/>
                <w:bdr w:val="none" w:sz="0" w:space="0" w:color="auto" w:frame="1"/>
              </w:rPr>
              <w:t>client_encryption_options</w:t>
            </w:r>
            <w:r>
              <w:rPr>
                <w:rFonts w:ascii="Work Sans" w:hAnsi="Work Sans"/>
                <w:color w:val="212529"/>
              </w:rPr>
              <w:t> option in </w:t>
            </w:r>
            <w:hyperlink r:id="rId5" w:anchor="configCassandra_yaml__client_encryption_options" w:history="1">
              <w:r>
                <w:rPr>
                  <w:rStyle w:val="Hyperlink"/>
                  <w:rFonts w:ascii="Work Sans" w:hAnsi="Work Sans"/>
                  <w:color w:val="055992"/>
                </w:rPr>
                <w:t>cassandra.yaml</w:t>
              </w:r>
            </w:hyperlink>
          </w:p>
        </w:tc>
      </w:tr>
      <w:tr w:rsidR="00DB23A3" w14:paraId="33BE6048" w14:textId="77777777" w:rsidTr="00DB23A3">
        <w:trPr>
          <w:trHeight w:val="428"/>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A5224D7" w14:textId="77777777" w:rsidR="00DB23A3" w:rsidRDefault="00DB23A3">
            <w:pPr>
              <w:rPr>
                <w:rFonts w:ascii="Work Sans" w:hAnsi="Work Sans"/>
                <w:color w:val="212529"/>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C5BF9CF" w14:textId="77777777" w:rsidR="00DB23A3" w:rsidRDefault="00DB23A3">
            <w:pPr>
              <w:rPr>
                <w:rFonts w:ascii="Work Sans" w:hAnsi="Work Sans"/>
                <w:color w:val="212529"/>
                <w:sz w:val="24"/>
                <w:szCs w:val="24"/>
              </w:rPr>
            </w:pPr>
            <w:r>
              <w:rPr>
                <w:rStyle w:val="a"/>
                <w:rFonts w:ascii="Courier New" w:hAnsi="Courier New" w:cs="Courier New"/>
                <w:color w:val="212529"/>
                <w:bdr w:val="none" w:sz="0" w:space="0" w:color="auto" w:frame="1"/>
              </w:rPr>
              <w:t>--no-progress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4F8B72C2" w14:textId="77777777" w:rsidR="00DB23A3" w:rsidRDefault="00DB23A3">
            <w:pPr>
              <w:rPr>
                <w:rFonts w:ascii="Work Sans" w:hAnsi="Work Sans"/>
                <w:color w:val="212529"/>
              </w:rPr>
            </w:pPr>
            <w:r>
              <w:rPr>
                <w:rFonts w:ascii="Work Sans" w:hAnsi="Work Sans"/>
                <w:color w:val="212529"/>
              </w:rPr>
              <w:t>Do not display progress.</w:t>
            </w:r>
          </w:p>
        </w:tc>
      </w:tr>
      <w:tr w:rsidR="00DB23A3" w14:paraId="6FA341E7" w14:textId="77777777" w:rsidTr="00DB23A3">
        <w:trPr>
          <w:trHeight w:val="41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98081E6"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420422EE"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--port &lt;rpc port&gt;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33BCDE27" w14:textId="77777777" w:rsidR="00DB23A3" w:rsidRDefault="00DB23A3">
            <w:pPr>
              <w:rPr>
                <w:rFonts w:ascii="Work Sans" w:hAnsi="Work Sans"/>
                <w:color w:val="212529"/>
              </w:rPr>
            </w:pPr>
            <w:r>
              <w:rPr>
                <w:rFonts w:ascii="Work Sans" w:hAnsi="Work Sans"/>
                <w:color w:val="212529"/>
              </w:rPr>
              <w:t>RPC port (default: 9160 [Thrift]).</w:t>
            </w:r>
          </w:p>
        </w:tc>
      </w:tr>
      <w:tr w:rsidR="00DB23A3" w14:paraId="15071DBD" w14:textId="77777777" w:rsidTr="00DB23A3">
        <w:trPr>
          <w:trHeight w:val="110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5241C8C"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lastRenderedPageBreak/>
              <w:t>-prtcl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35681AC6"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--ssl-protocol &lt;PROTOCOL&gt;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5D7F7B1" w14:textId="77777777" w:rsidR="00DB23A3" w:rsidRDefault="00DB23A3">
            <w:pPr>
              <w:pStyle w:val="-"/>
              <w:spacing w:before="0" w:beforeAutospacing="0"/>
              <w:rPr>
                <w:rFonts w:ascii="Work Sans" w:hAnsi="Work Sans"/>
                <w:color w:val="212529"/>
              </w:rPr>
            </w:pPr>
            <w:r>
              <w:rPr>
                <w:rFonts w:ascii="Work Sans" w:hAnsi="Work Sans"/>
                <w:color w:val="212529"/>
              </w:rPr>
              <w:t>Client SSL. Connections protocol to use (default: TLS).</w:t>
            </w:r>
          </w:p>
          <w:p w14:paraId="7946325D" w14:textId="77777777" w:rsidR="00DB23A3" w:rsidRDefault="00DB23A3">
            <w:pPr>
              <w:pStyle w:val="-"/>
              <w:spacing w:before="0" w:beforeAutospacing="0"/>
              <w:rPr>
                <w:rFonts w:ascii="Work Sans" w:hAnsi="Work Sans"/>
                <w:color w:val="212529"/>
              </w:rPr>
            </w:pPr>
            <w:r>
              <w:rPr>
                <w:rFonts w:ascii="Work Sans" w:hAnsi="Work Sans"/>
                <w:color w:val="212529"/>
              </w:rPr>
              <w:t>Overrides the </w:t>
            </w:r>
            <w:r>
              <w:rPr>
                <w:rStyle w:val="a"/>
                <w:rFonts w:ascii="Courier New" w:hAnsi="Courier New" w:cs="Courier New"/>
                <w:color w:val="212529"/>
                <w:bdr w:val="none" w:sz="0" w:space="0" w:color="auto" w:frame="1"/>
              </w:rPr>
              <w:t>server_encryption_options</w:t>
            </w:r>
            <w:r>
              <w:rPr>
                <w:rFonts w:ascii="Work Sans" w:hAnsi="Work Sans"/>
                <w:color w:val="212529"/>
              </w:rPr>
              <w:t> option in </w:t>
            </w:r>
            <w:hyperlink r:id="rId6" w:anchor="configCassandra_yaml__server_encryption_options" w:history="1">
              <w:r>
                <w:rPr>
                  <w:rStyle w:val="Hyperlink"/>
                  <w:rFonts w:ascii="Work Sans" w:hAnsi="Work Sans"/>
                  <w:color w:val="055992"/>
                </w:rPr>
                <w:t>cassandra.yaml</w:t>
              </w:r>
            </w:hyperlink>
          </w:p>
        </w:tc>
      </w:tr>
      <w:tr w:rsidR="00DB23A3" w14:paraId="6B6BB1F9" w14:textId="77777777" w:rsidTr="00DB23A3">
        <w:trPr>
          <w:trHeight w:val="41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4D0C8A31"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-pw</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51E4BEB"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--password &lt;password&gt;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26537993" w14:textId="77777777" w:rsidR="00DB23A3" w:rsidRDefault="00DB23A3">
            <w:pPr>
              <w:rPr>
                <w:rFonts w:ascii="Work Sans" w:hAnsi="Work Sans"/>
                <w:color w:val="212529"/>
              </w:rPr>
            </w:pPr>
            <w:r>
              <w:rPr>
                <w:rFonts w:ascii="Work Sans" w:hAnsi="Work Sans"/>
                <w:color w:val="212529"/>
              </w:rPr>
              <w:t>Password for Cassandra authentication.</w:t>
            </w:r>
          </w:p>
        </w:tc>
      </w:tr>
      <w:tr w:rsidR="00DB23A3" w14:paraId="41C6CE81" w14:textId="77777777" w:rsidTr="00DB23A3">
        <w:trPr>
          <w:trHeight w:val="671"/>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D9798CB"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BCD569F"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--store-type &lt;STORE-TYPE&gt;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F80F869" w14:textId="77777777" w:rsidR="00DB23A3" w:rsidRDefault="00DB23A3">
            <w:pPr>
              <w:rPr>
                <w:rFonts w:ascii="Work Sans" w:hAnsi="Work Sans"/>
                <w:color w:val="212529"/>
              </w:rPr>
            </w:pPr>
            <w:r>
              <w:rPr>
                <w:rFonts w:ascii="Work Sans" w:hAnsi="Work Sans"/>
                <w:color w:val="212529"/>
              </w:rPr>
              <w:t>Client SSL. Type of store.</w:t>
            </w:r>
          </w:p>
        </w:tc>
      </w:tr>
      <w:tr w:rsidR="00DB23A3" w14:paraId="2EC8D45D" w14:textId="77777777" w:rsidTr="00DB23A3">
        <w:trPr>
          <w:trHeight w:val="136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2ECF62C"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7AC9827"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--throttle &lt;throttle&gt;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355E36B" w14:textId="77777777" w:rsidR="00DB23A3" w:rsidRDefault="00DB23A3">
            <w:pPr>
              <w:pStyle w:val="-"/>
              <w:spacing w:before="0" w:beforeAutospacing="0"/>
              <w:rPr>
                <w:rFonts w:ascii="Work Sans" w:hAnsi="Work Sans"/>
                <w:color w:val="212529"/>
              </w:rPr>
            </w:pPr>
            <w:r>
              <w:rPr>
                <w:rFonts w:ascii="Work Sans" w:hAnsi="Work Sans"/>
                <w:color w:val="212529"/>
              </w:rPr>
              <w:t>Throttle speed in Mbits (default: unlimited).</w:t>
            </w:r>
          </w:p>
          <w:p w14:paraId="610242C8" w14:textId="77777777" w:rsidR="00DB23A3" w:rsidRDefault="00DB23A3">
            <w:pPr>
              <w:pStyle w:val="-"/>
              <w:spacing w:before="0" w:beforeAutospacing="0"/>
              <w:rPr>
                <w:rFonts w:ascii="Work Sans" w:hAnsi="Work Sans"/>
                <w:color w:val="212529"/>
              </w:rPr>
            </w:pPr>
            <w:r>
              <w:rPr>
                <w:rFonts w:ascii="Work Sans" w:hAnsi="Work Sans"/>
                <w:color w:val="212529"/>
              </w:rPr>
              <w:t>Overrides the </w:t>
            </w:r>
            <w:r>
              <w:rPr>
                <w:rStyle w:val="a"/>
                <w:rFonts w:ascii="Courier New" w:hAnsi="Courier New" w:cs="Courier New"/>
                <w:color w:val="212529"/>
                <w:bdr w:val="none" w:sz="0" w:space="0" w:color="auto" w:frame="1"/>
              </w:rPr>
              <w:t>stream_throughput_outbound_megabits_per_sec</w:t>
            </w:r>
            <w:r>
              <w:rPr>
                <w:rFonts w:ascii="Work Sans" w:hAnsi="Work Sans"/>
                <w:color w:val="212529"/>
              </w:rPr>
              <w:t> option in </w:t>
            </w:r>
            <w:hyperlink r:id="rId7" w:anchor="configCassandra_yaml__stream_throughput_outbound_megabits_per_sec" w:history="1">
              <w:r>
                <w:rPr>
                  <w:rStyle w:val="Hyperlink"/>
                  <w:rFonts w:ascii="Work Sans" w:hAnsi="Work Sans"/>
                  <w:color w:val="055992"/>
                </w:rPr>
                <w:t>cassandra.yaml</w:t>
              </w:r>
            </w:hyperlink>
          </w:p>
        </w:tc>
      </w:tr>
      <w:tr w:rsidR="00DB23A3" w14:paraId="0BE2B121" w14:textId="77777777" w:rsidTr="00DB23A3">
        <w:trPr>
          <w:trHeight w:val="70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987C83A"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9194E1C"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--transport-factory &lt;transport factory&gt;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AD6575E" w14:textId="77777777" w:rsidR="00DB23A3" w:rsidRDefault="00DB23A3">
            <w:pPr>
              <w:rPr>
                <w:rFonts w:ascii="Work Sans" w:hAnsi="Work Sans"/>
                <w:color w:val="212529"/>
              </w:rPr>
            </w:pPr>
            <w:r>
              <w:rPr>
                <w:rFonts w:ascii="Work Sans" w:hAnsi="Work Sans"/>
                <w:color w:val="212529"/>
              </w:rPr>
              <w:t>Fully-qualified </w:t>
            </w:r>
            <w:r>
              <w:rPr>
                <w:rStyle w:val="a"/>
                <w:rFonts w:ascii="Courier New" w:hAnsi="Courier New" w:cs="Courier New"/>
                <w:color w:val="212529"/>
                <w:bdr w:val="none" w:sz="0" w:space="0" w:color="auto" w:frame="1"/>
              </w:rPr>
              <w:t>ITransportFactory</w:t>
            </w:r>
            <w:r>
              <w:rPr>
                <w:rFonts w:ascii="Work Sans" w:hAnsi="Work Sans"/>
                <w:color w:val="212529"/>
              </w:rPr>
              <w:t> class name for creating a connection to Cassandra.</w:t>
            </w:r>
          </w:p>
        </w:tc>
      </w:tr>
      <w:tr w:rsidR="00DB23A3" w14:paraId="3E1FC911" w14:textId="77777777" w:rsidTr="00DB23A3">
        <w:trPr>
          <w:trHeight w:val="671"/>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12B1FBC2"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11400DD"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--truststore &lt;TRUSTSTORE&gt;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77211C1" w14:textId="77777777" w:rsidR="00DB23A3" w:rsidRDefault="00DB23A3">
            <w:pPr>
              <w:rPr>
                <w:rFonts w:ascii="Work Sans" w:hAnsi="Work Sans"/>
                <w:color w:val="212529"/>
              </w:rPr>
            </w:pPr>
            <w:r>
              <w:rPr>
                <w:rFonts w:ascii="Work Sans" w:hAnsi="Work Sans"/>
                <w:color w:val="212529"/>
              </w:rPr>
              <w:t>Client SSL. Full path to truststore.</w:t>
            </w:r>
          </w:p>
        </w:tc>
      </w:tr>
      <w:tr w:rsidR="00DB23A3" w14:paraId="72738CB4" w14:textId="77777777" w:rsidTr="00DB23A3">
        <w:trPr>
          <w:trHeight w:val="66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471749B"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-tspw</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F933992"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--truststore-password &lt;TRUSTSTORE-PASSWORD&gt;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E147904" w14:textId="77777777" w:rsidR="00DB23A3" w:rsidRDefault="00DB23A3">
            <w:pPr>
              <w:rPr>
                <w:rFonts w:ascii="Work Sans" w:hAnsi="Work Sans"/>
                <w:color w:val="212529"/>
              </w:rPr>
            </w:pPr>
            <w:r>
              <w:rPr>
                <w:rFonts w:ascii="Work Sans" w:hAnsi="Work Sans"/>
                <w:color w:val="212529"/>
              </w:rPr>
              <w:t>Client SSL. Password of the truststore.</w:t>
            </w:r>
          </w:p>
        </w:tc>
      </w:tr>
      <w:tr w:rsidR="00DB23A3" w14:paraId="3D4E385B" w14:textId="77777777" w:rsidTr="00DB23A3">
        <w:trPr>
          <w:trHeight w:val="428"/>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55E9D824"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715B592"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--username &lt;username&gt;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66E3695E" w14:textId="77777777" w:rsidR="00DB23A3" w:rsidRDefault="00DB23A3">
            <w:pPr>
              <w:rPr>
                <w:rFonts w:ascii="Work Sans" w:hAnsi="Work Sans"/>
                <w:color w:val="212529"/>
              </w:rPr>
            </w:pPr>
            <w:r>
              <w:rPr>
                <w:rFonts w:ascii="Work Sans" w:hAnsi="Work Sans"/>
                <w:color w:val="212529"/>
              </w:rPr>
              <w:t>User name for Cassandra authentication.</w:t>
            </w:r>
          </w:p>
        </w:tc>
      </w:tr>
      <w:tr w:rsidR="00DB23A3" w14:paraId="2635324A" w14:textId="77777777" w:rsidTr="00DB23A3">
        <w:trPr>
          <w:trHeight w:val="41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7CD4C289"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09380CEA" w14:textId="77777777" w:rsidR="00DB23A3" w:rsidRDefault="00DB23A3">
            <w:pPr>
              <w:rPr>
                <w:rFonts w:ascii="Work Sans" w:hAnsi="Work Sans"/>
                <w:color w:val="212529"/>
              </w:rPr>
            </w:pPr>
            <w:r>
              <w:rPr>
                <w:rStyle w:val="a"/>
                <w:rFonts w:ascii="Courier New" w:hAnsi="Courier New" w:cs="Courier New"/>
                <w:color w:val="212529"/>
                <w:bdr w:val="none" w:sz="0" w:space="0" w:color="auto" w:frame="1"/>
              </w:rPr>
              <w:t>--verbose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20" w:type="dxa"/>
              <w:bottom w:w="30" w:type="dxa"/>
              <w:right w:w="120" w:type="dxa"/>
            </w:tcMar>
            <w:hideMark/>
          </w:tcPr>
          <w:p w14:paraId="46542C52" w14:textId="77777777" w:rsidR="00DB23A3" w:rsidRDefault="00DB23A3">
            <w:pPr>
              <w:rPr>
                <w:rFonts w:ascii="Work Sans" w:hAnsi="Work Sans"/>
                <w:color w:val="212529"/>
              </w:rPr>
            </w:pPr>
            <w:r>
              <w:rPr>
                <w:rFonts w:ascii="Work Sans" w:hAnsi="Work Sans"/>
                <w:color w:val="212529"/>
              </w:rPr>
              <w:t>Verbose output.</w:t>
            </w:r>
          </w:p>
        </w:tc>
      </w:tr>
    </w:tbl>
    <w:p w14:paraId="61D6F4F5" w14:textId="77777777" w:rsidR="00DB23A3" w:rsidRPr="0083645F" w:rsidRDefault="00DB23A3" w:rsidP="00DB23A3">
      <w:pPr>
        <w:rPr>
          <w:sz w:val="40"/>
          <w:szCs w:val="40"/>
          <w:lang w:val="en-US"/>
        </w:rPr>
      </w:pPr>
    </w:p>
    <w:p w14:paraId="0E803E10" w14:textId="77777777" w:rsidR="0083645F" w:rsidRPr="0083645F" w:rsidRDefault="00DB23A3" w:rsidP="0083645F">
      <w:pPr>
        <w:rPr>
          <w:sz w:val="40"/>
          <w:szCs w:val="40"/>
          <w:lang w:val="en-US"/>
        </w:rPr>
      </w:pPr>
      <w:r w:rsidRPr="00DB23A3">
        <w:rPr>
          <w:sz w:val="40"/>
          <w:szCs w:val="40"/>
          <w:lang w:val="en-US"/>
        </w:rPr>
        <w:t xml:space="preserve">You may set up streaming throughput, client and server encryption options, and more by running the cassandra.yaml file on the command line with the -f option. The only parameters that are read from the </w:t>
      </w:r>
      <w:r w:rsidRPr="00DB23A3">
        <w:rPr>
          <w:sz w:val="40"/>
          <w:szCs w:val="40"/>
          <w:lang w:val="en-US"/>
        </w:rPr>
        <w:lastRenderedPageBreak/>
        <w:t>cassandra.yaml file are stream_throughput_outbound_megabits_per_sec, server_encryption_options, and client_encryption_options. Option read from cassandra.yaml can be overridden using the relevant command line options.</w:t>
      </w:r>
    </w:p>
    <w:p w14:paraId="68D9A43B" w14:textId="77777777" w:rsidR="0083645F" w:rsidRPr="0083645F" w:rsidRDefault="0083645F">
      <w:pPr>
        <w:rPr>
          <w:sz w:val="40"/>
          <w:szCs w:val="40"/>
          <w:lang w:val="en-US"/>
        </w:rPr>
      </w:pPr>
    </w:p>
    <w:sectPr w:rsidR="0083645F" w:rsidRPr="00836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3F71"/>
    <w:multiLevelType w:val="hybridMultilevel"/>
    <w:tmpl w:val="2DE05C70"/>
    <w:lvl w:ilvl="0" w:tplc="45F63F0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749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5F"/>
    <w:rsid w:val="0006448A"/>
    <w:rsid w:val="00262A73"/>
    <w:rsid w:val="002D7735"/>
    <w:rsid w:val="0083645F"/>
    <w:rsid w:val="00DB23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D56F"/>
  <w15:chartTrackingRefBased/>
  <w15:docId w15:val="{96B2DFFA-248B-4B97-9118-975424E4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45F"/>
    <w:pPr>
      <w:ind w:left="720"/>
      <w:contextualSpacing/>
    </w:pPr>
  </w:style>
  <w:style w:type="character" w:styleId="Hyperlink">
    <w:name w:val="Hyperlink"/>
    <w:basedOn w:val="DefaultParagraphFont"/>
    <w:uiPriority w:val="99"/>
    <w:unhideWhenUsed/>
    <w:rsid w:val="00DB23A3"/>
    <w:rPr>
      <w:color w:val="0563C1" w:themeColor="hyperlink"/>
      <w:u w:val="single"/>
    </w:rPr>
  </w:style>
  <w:style w:type="character" w:styleId="UnresolvedMention">
    <w:name w:val="Unresolved Mention"/>
    <w:basedOn w:val="DefaultParagraphFont"/>
    <w:uiPriority w:val="99"/>
    <w:semiHidden/>
    <w:unhideWhenUsed/>
    <w:rsid w:val="00DB23A3"/>
    <w:rPr>
      <w:color w:val="605E5C"/>
      <w:shd w:val="clear" w:color="auto" w:fill="E1DFDD"/>
    </w:rPr>
  </w:style>
  <w:style w:type="character" w:customStyle="1" w:styleId="a">
    <w:name w:val="+"/>
    <w:basedOn w:val="DefaultParagraphFont"/>
    <w:rsid w:val="00DB23A3"/>
  </w:style>
  <w:style w:type="character" w:styleId="Strong">
    <w:name w:val="Strong"/>
    <w:basedOn w:val="DefaultParagraphFont"/>
    <w:uiPriority w:val="22"/>
    <w:qFormat/>
    <w:rsid w:val="00DB23A3"/>
    <w:rPr>
      <w:b/>
      <w:bCs/>
    </w:rPr>
  </w:style>
  <w:style w:type="paragraph" w:customStyle="1" w:styleId="-">
    <w:name w:val="-"/>
    <w:basedOn w:val="Normal"/>
    <w:rsid w:val="00DB23A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934">
      <w:bodyDiv w:val="1"/>
      <w:marLeft w:val="0"/>
      <w:marRight w:val="0"/>
      <w:marTop w:val="0"/>
      <w:marBottom w:val="0"/>
      <w:divBdr>
        <w:top w:val="none" w:sz="0" w:space="0" w:color="auto"/>
        <w:left w:val="none" w:sz="0" w:space="0" w:color="auto"/>
        <w:bottom w:val="none" w:sz="0" w:space="0" w:color="auto"/>
        <w:right w:val="none" w:sz="0" w:space="0" w:color="auto"/>
      </w:divBdr>
    </w:div>
    <w:div w:id="165049546">
      <w:bodyDiv w:val="1"/>
      <w:marLeft w:val="0"/>
      <w:marRight w:val="0"/>
      <w:marTop w:val="0"/>
      <w:marBottom w:val="0"/>
      <w:divBdr>
        <w:top w:val="none" w:sz="0" w:space="0" w:color="auto"/>
        <w:left w:val="none" w:sz="0" w:space="0" w:color="auto"/>
        <w:bottom w:val="none" w:sz="0" w:space="0" w:color="auto"/>
        <w:right w:val="none" w:sz="0" w:space="0" w:color="auto"/>
      </w:divBdr>
    </w:div>
    <w:div w:id="343291208">
      <w:bodyDiv w:val="1"/>
      <w:marLeft w:val="0"/>
      <w:marRight w:val="0"/>
      <w:marTop w:val="0"/>
      <w:marBottom w:val="0"/>
      <w:divBdr>
        <w:top w:val="none" w:sz="0" w:space="0" w:color="auto"/>
        <w:left w:val="none" w:sz="0" w:space="0" w:color="auto"/>
        <w:bottom w:val="none" w:sz="0" w:space="0" w:color="auto"/>
        <w:right w:val="none" w:sz="0" w:space="0" w:color="auto"/>
      </w:divBdr>
    </w:div>
    <w:div w:id="362676277">
      <w:bodyDiv w:val="1"/>
      <w:marLeft w:val="0"/>
      <w:marRight w:val="0"/>
      <w:marTop w:val="0"/>
      <w:marBottom w:val="0"/>
      <w:divBdr>
        <w:top w:val="none" w:sz="0" w:space="0" w:color="auto"/>
        <w:left w:val="none" w:sz="0" w:space="0" w:color="auto"/>
        <w:bottom w:val="none" w:sz="0" w:space="0" w:color="auto"/>
        <w:right w:val="none" w:sz="0" w:space="0" w:color="auto"/>
      </w:divBdr>
    </w:div>
    <w:div w:id="942497606">
      <w:bodyDiv w:val="1"/>
      <w:marLeft w:val="0"/>
      <w:marRight w:val="0"/>
      <w:marTop w:val="0"/>
      <w:marBottom w:val="0"/>
      <w:divBdr>
        <w:top w:val="none" w:sz="0" w:space="0" w:color="auto"/>
        <w:left w:val="none" w:sz="0" w:space="0" w:color="auto"/>
        <w:bottom w:val="none" w:sz="0" w:space="0" w:color="auto"/>
        <w:right w:val="none" w:sz="0" w:space="0" w:color="auto"/>
      </w:divBdr>
    </w:div>
    <w:div w:id="1068071400">
      <w:bodyDiv w:val="1"/>
      <w:marLeft w:val="0"/>
      <w:marRight w:val="0"/>
      <w:marTop w:val="0"/>
      <w:marBottom w:val="0"/>
      <w:divBdr>
        <w:top w:val="none" w:sz="0" w:space="0" w:color="auto"/>
        <w:left w:val="none" w:sz="0" w:space="0" w:color="auto"/>
        <w:bottom w:val="none" w:sz="0" w:space="0" w:color="auto"/>
        <w:right w:val="none" w:sz="0" w:space="0" w:color="auto"/>
      </w:divBdr>
    </w:div>
    <w:div w:id="1073625093">
      <w:bodyDiv w:val="1"/>
      <w:marLeft w:val="0"/>
      <w:marRight w:val="0"/>
      <w:marTop w:val="0"/>
      <w:marBottom w:val="0"/>
      <w:divBdr>
        <w:top w:val="none" w:sz="0" w:space="0" w:color="auto"/>
        <w:left w:val="none" w:sz="0" w:space="0" w:color="auto"/>
        <w:bottom w:val="none" w:sz="0" w:space="0" w:color="auto"/>
        <w:right w:val="none" w:sz="0" w:space="0" w:color="auto"/>
      </w:divBdr>
    </w:div>
    <w:div w:id="1425490515">
      <w:bodyDiv w:val="1"/>
      <w:marLeft w:val="0"/>
      <w:marRight w:val="0"/>
      <w:marTop w:val="0"/>
      <w:marBottom w:val="0"/>
      <w:divBdr>
        <w:top w:val="none" w:sz="0" w:space="0" w:color="auto"/>
        <w:left w:val="none" w:sz="0" w:space="0" w:color="auto"/>
        <w:bottom w:val="none" w:sz="0" w:space="0" w:color="auto"/>
        <w:right w:val="none" w:sz="0" w:space="0" w:color="auto"/>
      </w:divBdr>
    </w:div>
    <w:div w:id="1636256541">
      <w:bodyDiv w:val="1"/>
      <w:marLeft w:val="0"/>
      <w:marRight w:val="0"/>
      <w:marTop w:val="0"/>
      <w:marBottom w:val="0"/>
      <w:divBdr>
        <w:top w:val="none" w:sz="0" w:space="0" w:color="auto"/>
        <w:left w:val="none" w:sz="0" w:space="0" w:color="auto"/>
        <w:bottom w:val="none" w:sz="0" w:space="0" w:color="auto"/>
        <w:right w:val="none" w:sz="0" w:space="0" w:color="auto"/>
      </w:divBdr>
    </w:div>
    <w:div w:id="1902983550">
      <w:bodyDiv w:val="1"/>
      <w:marLeft w:val="0"/>
      <w:marRight w:val="0"/>
      <w:marTop w:val="0"/>
      <w:marBottom w:val="0"/>
      <w:divBdr>
        <w:top w:val="none" w:sz="0" w:space="0" w:color="auto"/>
        <w:left w:val="none" w:sz="0" w:space="0" w:color="auto"/>
        <w:bottom w:val="none" w:sz="0" w:space="0" w:color="auto"/>
        <w:right w:val="none" w:sz="0" w:space="0" w:color="auto"/>
      </w:divBdr>
    </w:div>
    <w:div w:id="1964648837">
      <w:bodyDiv w:val="1"/>
      <w:marLeft w:val="0"/>
      <w:marRight w:val="0"/>
      <w:marTop w:val="0"/>
      <w:marBottom w:val="0"/>
      <w:divBdr>
        <w:top w:val="none" w:sz="0" w:space="0" w:color="auto"/>
        <w:left w:val="none" w:sz="0" w:space="0" w:color="auto"/>
        <w:bottom w:val="none" w:sz="0" w:space="0" w:color="auto"/>
        <w:right w:val="none" w:sz="0" w:space="0" w:color="auto"/>
      </w:divBdr>
    </w:div>
    <w:div w:id="21425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datastax.com/en/cassandra-oss/3.x/cassandra/configuration/configCassandra_yam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datastax.com/en/cassandra-oss/3.x/cassandra/configuration/configCassandra_yaml.html" TargetMode="External"/><Relationship Id="rId5" Type="http://schemas.openxmlformats.org/officeDocument/2006/relationships/hyperlink" Target="https://docs.datastax.com/en/cassandra-oss/3.x/cassandra/configuration/configCassandra_yam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dc:creator>
  <cp:keywords/>
  <dc:description/>
  <cp:lastModifiedBy>Neha Kasanagottu</cp:lastModifiedBy>
  <cp:revision>1</cp:revision>
  <dcterms:created xsi:type="dcterms:W3CDTF">2024-03-11T16:34:00Z</dcterms:created>
  <dcterms:modified xsi:type="dcterms:W3CDTF">2024-03-11T16:34:00Z</dcterms:modified>
</cp:coreProperties>
</file>